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91" w:rsidRDefault="00EA1D5E">
      <w:pPr>
        <w:spacing w:after="57" w:line="259" w:lineRule="auto"/>
        <w:ind w:left="0" w:firstLine="0"/>
      </w:pPr>
      <w:bookmarkStart w:id="0" w:name="_GoBack"/>
      <w:bookmarkEnd w:id="0"/>
      <w:r>
        <w:rPr>
          <w:sz w:val="24"/>
        </w:rPr>
        <w:t xml:space="preserve"> </w:t>
      </w:r>
    </w:p>
    <w:p w:rsidR="00AF4B91" w:rsidRDefault="00EA1D5E">
      <w:pPr>
        <w:spacing w:after="0" w:line="259" w:lineRule="auto"/>
        <w:ind w:left="922" w:firstLine="0"/>
      </w:pPr>
      <w:r>
        <w:rPr>
          <w:b/>
          <w:color w:val="365F91"/>
          <w:sz w:val="32"/>
        </w:rPr>
        <w:t xml:space="preserve">TEMARIO DE ECONÓMICO ADMINISTRATIVAS 2025 </w:t>
      </w:r>
    </w:p>
    <w:p w:rsidR="00AF4B91" w:rsidRDefault="00EA1D5E">
      <w:pPr>
        <w:spacing w:after="0" w:line="259" w:lineRule="auto"/>
        <w:ind w:left="86" w:firstLine="0"/>
        <w:jc w:val="center"/>
      </w:pPr>
      <w:r>
        <w:rPr>
          <w:color w:val="365F91"/>
          <w:sz w:val="32"/>
        </w:rPr>
        <w:t xml:space="preserve"> </w:t>
      </w:r>
    </w:p>
    <w:p w:rsidR="00AF4B91" w:rsidRDefault="00EA1D5E">
      <w:pPr>
        <w:spacing w:after="0" w:line="259" w:lineRule="auto"/>
        <w:ind w:left="-5"/>
      </w:pPr>
      <w:r>
        <w:rPr>
          <w:b/>
          <w:color w:val="215968"/>
          <w:sz w:val="24"/>
        </w:rPr>
        <w:t xml:space="preserve">ADMINISTRACIÓN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pStyle w:val="Ttulo1"/>
        <w:ind w:left="-5"/>
      </w:pPr>
      <w:r>
        <w:t xml:space="preserve">1. Antecedentes históricos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Principales precursores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Época primitiva.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Periodo agrícola.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Antigüedad grecolatina.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Época feudal.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Revolución industrial.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Siglo XX. </w:t>
      </w:r>
    </w:p>
    <w:p w:rsidR="00AF4B91" w:rsidRDefault="00EA1D5E">
      <w:pPr>
        <w:numPr>
          <w:ilvl w:val="0"/>
          <w:numId w:val="1"/>
        </w:numPr>
        <w:spacing w:line="249" w:lineRule="auto"/>
        <w:ind w:right="443" w:hanging="261"/>
      </w:pPr>
      <w:r>
        <w:rPr>
          <w:sz w:val="24"/>
        </w:rPr>
        <w:t xml:space="preserve">La administración en América latina. </w:t>
      </w:r>
    </w:p>
    <w:p w:rsidR="00AF4B91" w:rsidRDefault="00EA1D5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F4B91" w:rsidRDefault="00EA1D5E">
      <w:pPr>
        <w:pStyle w:val="Ttulo1"/>
        <w:ind w:left="-5"/>
      </w:pPr>
      <w:r>
        <w:t xml:space="preserve">2. Administración </w:t>
      </w:r>
    </w:p>
    <w:p w:rsidR="00AF4B91" w:rsidRDefault="00EA1D5E">
      <w:pPr>
        <w:numPr>
          <w:ilvl w:val="0"/>
          <w:numId w:val="2"/>
        </w:numPr>
        <w:spacing w:line="249" w:lineRule="auto"/>
        <w:ind w:right="443" w:hanging="261"/>
      </w:pPr>
      <w:r>
        <w:rPr>
          <w:sz w:val="24"/>
        </w:rPr>
        <w:t xml:space="preserve">Concepto de administración. </w:t>
      </w:r>
    </w:p>
    <w:p w:rsidR="00AF4B91" w:rsidRDefault="00EA1D5E">
      <w:pPr>
        <w:numPr>
          <w:ilvl w:val="0"/>
          <w:numId w:val="2"/>
        </w:numPr>
        <w:spacing w:line="249" w:lineRule="auto"/>
        <w:ind w:right="443" w:hanging="261"/>
      </w:pPr>
      <w:r>
        <w:rPr>
          <w:sz w:val="24"/>
        </w:rPr>
        <w:t xml:space="preserve">Importancia de la administración. </w:t>
      </w:r>
    </w:p>
    <w:p w:rsidR="00AF4B91" w:rsidRDefault="00EA1D5E">
      <w:pPr>
        <w:numPr>
          <w:ilvl w:val="0"/>
          <w:numId w:val="2"/>
        </w:numPr>
        <w:spacing w:line="249" w:lineRule="auto"/>
        <w:ind w:right="443" w:hanging="261"/>
      </w:pPr>
      <w:r>
        <w:rPr>
          <w:sz w:val="24"/>
        </w:rPr>
        <w:t xml:space="preserve">Principios generales de administración. </w:t>
      </w:r>
    </w:p>
    <w:p w:rsidR="00AF4B91" w:rsidRDefault="00EA1D5E">
      <w:pPr>
        <w:numPr>
          <w:ilvl w:val="0"/>
          <w:numId w:val="2"/>
        </w:numPr>
        <w:spacing w:line="249" w:lineRule="auto"/>
        <w:ind w:right="443" w:hanging="261"/>
      </w:pPr>
      <w:r>
        <w:rPr>
          <w:sz w:val="24"/>
        </w:rPr>
        <w:t xml:space="preserve">Relación interdisciplinaria: derecho, economía, psicología, sociología, moral y comunicación. e) Teoría científica y clásica. </w:t>
      </w:r>
    </w:p>
    <w:p w:rsidR="00AF4B91" w:rsidRDefault="00EA1D5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F4B91" w:rsidRDefault="00EA1D5E">
      <w:pPr>
        <w:pStyle w:val="Ttulo1"/>
        <w:ind w:left="-5"/>
      </w:pPr>
      <w:r>
        <w:t xml:space="preserve">3. Proceso administrativo </w:t>
      </w:r>
    </w:p>
    <w:p w:rsidR="00AF4B91" w:rsidRDefault="00EA1D5E">
      <w:pPr>
        <w:numPr>
          <w:ilvl w:val="0"/>
          <w:numId w:val="3"/>
        </w:numPr>
        <w:spacing w:line="249" w:lineRule="auto"/>
        <w:ind w:right="443" w:hanging="260"/>
      </w:pPr>
      <w:r>
        <w:rPr>
          <w:sz w:val="24"/>
        </w:rPr>
        <w:t xml:space="preserve">Concepto e importancia </w:t>
      </w:r>
    </w:p>
    <w:p w:rsidR="00AF4B91" w:rsidRDefault="00EA1D5E">
      <w:pPr>
        <w:numPr>
          <w:ilvl w:val="0"/>
          <w:numId w:val="3"/>
        </w:numPr>
        <w:spacing w:line="249" w:lineRule="auto"/>
        <w:ind w:right="443" w:hanging="260"/>
      </w:pPr>
      <w:r>
        <w:rPr>
          <w:sz w:val="24"/>
        </w:rPr>
        <w:t xml:space="preserve">Fases </w:t>
      </w:r>
    </w:p>
    <w:p w:rsidR="00AF4B91" w:rsidRDefault="00EA1D5E">
      <w:pPr>
        <w:numPr>
          <w:ilvl w:val="0"/>
          <w:numId w:val="3"/>
        </w:numPr>
        <w:spacing w:line="249" w:lineRule="auto"/>
        <w:ind w:right="443" w:hanging="260"/>
      </w:pPr>
      <w:r>
        <w:rPr>
          <w:sz w:val="24"/>
        </w:rPr>
        <w:t xml:space="preserve">Etapas </w:t>
      </w:r>
    </w:p>
    <w:p w:rsidR="00AF4B91" w:rsidRDefault="00EA1D5E">
      <w:pPr>
        <w:numPr>
          <w:ilvl w:val="0"/>
          <w:numId w:val="3"/>
        </w:numPr>
        <w:spacing w:line="249" w:lineRule="auto"/>
        <w:ind w:right="443" w:hanging="260"/>
      </w:pPr>
      <w:r>
        <w:rPr>
          <w:sz w:val="24"/>
        </w:rPr>
        <w:t xml:space="preserve">Elementos de cada una de las etapas </w:t>
      </w:r>
    </w:p>
    <w:p w:rsidR="00AF4B91" w:rsidRDefault="00EA1D5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F4B91" w:rsidRDefault="00EA1D5E">
      <w:pPr>
        <w:pStyle w:val="Ttulo1"/>
        <w:ind w:left="-5"/>
      </w:pPr>
      <w:r>
        <w:t xml:space="preserve">4. Empresas </w:t>
      </w:r>
    </w:p>
    <w:p w:rsidR="00AF4B91" w:rsidRDefault="00EA1D5E">
      <w:pPr>
        <w:numPr>
          <w:ilvl w:val="0"/>
          <w:numId w:val="4"/>
        </w:numPr>
        <w:spacing w:line="249" w:lineRule="auto"/>
        <w:ind w:right="443" w:hanging="260"/>
      </w:pPr>
      <w:r>
        <w:rPr>
          <w:sz w:val="24"/>
        </w:rPr>
        <w:t xml:space="preserve">Concepto </w:t>
      </w:r>
    </w:p>
    <w:p w:rsidR="00AF4B91" w:rsidRDefault="00EA1D5E">
      <w:pPr>
        <w:numPr>
          <w:ilvl w:val="0"/>
          <w:numId w:val="4"/>
        </w:numPr>
        <w:spacing w:line="249" w:lineRule="auto"/>
        <w:ind w:right="443" w:hanging="260"/>
      </w:pPr>
      <w:r>
        <w:rPr>
          <w:sz w:val="24"/>
        </w:rPr>
        <w:t xml:space="preserve">Clasificación </w:t>
      </w:r>
    </w:p>
    <w:p w:rsidR="00AF4B91" w:rsidRDefault="00EA1D5E">
      <w:pPr>
        <w:numPr>
          <w:ilvl w:val="0"/>
          <w:numId w:val="4"/>
        </w:numPr>
        <w:spacing w:line="249" w:lineRule="auto"/>
        <w:ind w:right="443" w:hanging="260"/>
      </w:pPr>
      <w:r>
        <w:rPr>
          <w:sz w:val="24"/>
        </w:rPr>
        <w:t xml:space="preserve">Recursos o elementos </w:t>
      </w:r>
    </w:p>
    <w:p w:rsidR="00AF4B91" w:rsidRDefault="00EA1D5E">
      <w:pPr>
        <w:numPr>
          <w:ilvl w:val="0"/>
          <w:numId w:val="4"/>
        </w:numPr>
        <w:spacing w:line="249" w:lineRule="auto"/>
        <w:ind w:right="443" w:hanging="260"/>
      </w:pPr>
      <w:r>
        <w:rPr>
          <w:sz w:val="24"/>
        </w:rPr>
        <w:t xml:space="preserve">Funciones básicas de la empresa </w:t>
      </w:r>
    </w:p>
    <w:p w:rsidR="00AF4B91" w:rsidRDefault="00EA1D5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F4B91" w:rsidRDefault="00EA1D5E">
      <w:pPr>
        <w:numPr>
          <w:ilvl w:val="0"/>
          <w:numId w:val="5"/>
        </w:numPr>
        <w:spacing w:after="0" w:line="259" w:lineRule="auto"/>
        <w:ind w:hanging="240"/>
      </w:pPr>
      <w:r>
        <w:rPr>
          <w:b/>
          <w:color w:val="215968"/>
          <w:sz w:val="24"/>
        </w:rPr>
        <w:t xml:space="preserve">Administración moderna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numPr>
          <w:ilvl w:val="0"/>
          <w:numId w:val="5"/>
        </w:numPr>
        <w:spacing w:after="0" w:line="259" w:lineRule="auto"/>
        <w:ind w:hanging="240"/>
      </w:pPr>
      <w:r>
        <w:rPr>
          <w:b/>
          <w:color w:val="215968"/>
          <w:sz w:val="24"/>
        </w:rPr>
        <w:t xml:space="preserve">Ejercicio 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lastRenderedPageBreak/>
        <w:t xml:space="preserve">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pStyle w:val="Ttulo1"/>
        <w:ind w:left="-5"/>
      </w:pPr>
      <w:r>
        <w:t xml:space="preserve">CONTABILIDAD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  <w:sz w:val="24"/>
        </w:rPr>
        <w:t xml:space="preserve"> </w:t>
      </w:r>
    </w:p>
    <w:p w:rsidR="00AF4B91" w:rsidRDefault="00EA1D5E">
      <w:pPr>
        <w:spacing w:after="1" w:line="259" w:lineRule="auto"/>
        <w:ind w:left="-5"/>
      </w:pPr>
      <w:r>
        <w:rPr>
          <w:b/>
          <w:color w:val="215968"/>
        </w:rPr>
        <w:t xml:space="preserve">1. Razones y proporciones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2. Porcentajes y aplicaciones </w:t>
      </w:r>
    </w:p>
    <w:p w:rsidR="00AF4B91" w:rsidRDefault="00EA1D5E">
      <w:pPr>
        <w:numPr>
          <w:ilvl w:val="0"/>
          <w:numId w:val="6"/>
        </w:numPr>
        <w:ind w:hanging="240"/>
      </w:pPr>
      <w:r>
        <w:t xml:space="preserve">Reglas para cambiar porcentajes, decimales y quebrados. </w:t>
      </w:r>
    </w:p>
    <w:p w:rsidR="00AF4B91" w:rsidRDefault="00EA1D5E">
      <w:pPr>
        <w:numPr>
          <w:ilvl w:val="0"/>
          <w:numId w:val="6"/>
        </w:numPr>
        <w:ind w:hanging="240"/>
      </w:pPr>
      <w:r>
        <w:t xml:space="preserve">Aplicación de porcentajes en operaciones de negocios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3. Conceptos de contabilidad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Definición de contabilidad financiera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Ingreso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Utilidad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Gastos, pérdidas y costo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Obligaciones legales de llevar contabilidad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Tipos de contabilidad </w:t>
      </w:r>
    </w:p>
    <w:p w:rsidR="00AF4B91" w:rsidRDefault="00EA1D5E">
      <w:pPr>
        <w:numPr>
          <w:ilvl w:val="0"/>
          <w:numId w:val="7"/>
        </w:numPr>
        <w:ind w:hanging="240"/>
      </w:pPr>
      <w:r>
        <w:t xml:space="preserve">Marco legal de la </w:t>
      </w:r>
      <w:r>
        <w:t xml:space="preserve">contabilidad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4. La cuenta </w:t>
      </w:r>
    </w:p>
    <w:p w:rsidR="00AF4B91" w:rsidRDefault="00EA1D5E">
      <w:pPr>
        <w:numPr>
          <w:ilvl w:val="0"/>
          <w:numId w:val="8"/>
        </w:numPr>
        <w:ind w:hanging="240"/>
      </w:pPr>
      <w:r>
        <w:t xml:space="preserve">Concepto de la cuenta </w:t>
      </w:r>
    </w:p>
    <w:p w:rsidR="00AF4B91" w:rsidRDefault="00EA1D5E">
      <w:pPr>
        <w:numPr>
          <w:ilvl w:val="0"/>
          <w:numId w:val="8"/>
        </w:numPr>
        <w:ind w:hanging="240"/>
      </w:pPr>
      <w:r>
        <w:t xml:space="preserve">Nombre de la cuenta </w:t>
      </w:r>
    </w:p>
    <w:p w:rsidR="00AF4B91" w:rsidRDefault="00EA1D5E">
      <w:pPr>
        <w:numPr>
          <w:ilvl w:val="0"/>
          <w:numId w:val="8"/>
        </w:numPr>
        <w:ind w:hanging="240"/>
      </w:pPr>
      <w:r>
        <w:t xml:space="preserve">Partes de una cuenta </w:t>
      </w:r>
    </w:p>
    <w:p w:rsidR="00AF4B91" w:rsidRDefault="00EA1D5E">
      <w:pPr>
        <w:numPr>
          <w:ilvl w:val="0"/>
          <w:numId w:val="8"/>
        </w:numPr>
        <w:ind w:hanging="240"/>
      </w:pPr>
      <w:r>
        <w:t xml:space="preserve">Clasificación de la cuenta </w:t>
      </w:r>
    </w:p>
    <w:p w:rsidR="00AF4B91" w:rsidRDefault="00EA1D5E">
      <w:pPr>
        <w:numPr>
          <w:ilvl w:val="0"/>
          <w:numId w:val="8"/>
        </w:numPr>
        <w:ind w:hanging="240"/>
      </w:pPr>
      <w:r>
        <w:t xml:space="preserve">Cuentas de activo, pasivo, capital, ingresos y gastos </w:t>
      </w:r>
    </w:p>
    <w:p w:rsidR="00AF4B91" w:rsidRDefault="00EA1D5E">
      <w:pPr>
        <w:numPr>
          <w:ilvl w:val="0"/>
          <w:numId w:val="8"/>
        </w:numPr>
        <w:ind w:hanging="240"/>
      </w:pPr>
      <w:r>
        <w:t xml:space="preserve">Registros contables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5. Teoría de la partida doble </w:t>
      </w:r>
    </w:p>
    <w:p w:rsidR="00AF4B91" w:rsidRDefault="00EA1D5E">
      <w:pPr>
        <w:numPr>
          <w:ilvl w:val="0"/>
          <w:numId w:val="9"/>
        </w:numPr>
        <w:ind w:hanging="240"/>
      </w:pPr>
      <w:r>
        <w:t xml:space="preserve">Reglas del cargo y del abono </w:t>
      </w:r>
    </w:p>
    <w:p w:rsidR="00AF4B91" w:rsidRDefault="00EA1D5E">
      <w:pPr>
        <w:numPr>
          <w:ilvl w:val="0"/>
          <w:numId w:val="9"/>
        </w:numPr>
        <w:ind w:hanging="240"/>
      </w:pPr>
      <w:r>
        <w:t xml:space="preserve">Naturaleza de las cuentas de resultado </w:t>
      </w:r>
    </w:p>
    <w:p w:rsidR="00AF4B91" w:rsidRDefault="00EA1D5E">
      <w:pPr>
        <w:numPr>
          <w:ilvl w:val="0"/>
          <w:numId w:val="9"/>
        </w:numPr>
        <w:ind w:hanging="240"/>
      </w:pPr>
      <w:r>
        <w:t xml:space="preserve">Cuestas de resultados de naturaleza deudora </w:t>
      </w:r>
    </w:p>
    <w:p w:rsidR="00AF4B91" w:rsidRDefault="00EA1D5E">
      <w:pPr>
        <w:numPr>
          <w:ilvl w:val="0"/>
          <w:numId w:val="9"/>
        </w:numPr>
        <w:ind w:hanging="240"/>
      </w:pPr>
      <w:r>
        <w:t xml:space="preserve">Cuentas de resultados de naturaleza acreedora </w:t>
      </w:r>
    </w:p>
    <w:p w:rsidR="00AF4B91" w:rsidRDefault="00EA1D5E">
      <w:pPr>
        <w:numPr>
          <w:ilvl w:val="0"/>
          <w:numId w:val="9"/>
        </w:numPr>
        <w:ind w:hanging="240"/>
      </w:pPr>
      <w:r>
        <w:t xml:space="preserve">Forma en que se debe proceder para registrar las operaciones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spacing w:after="1" w:line="259" w:lineRule="auto"/>
        <w:ind w:left="-5"/>
      </w:pPr>
      <w:r>
        <w:rPr>
          <w:b/>
          <w:color w:val="215968"/>
        </w:rPr>
        <w:t xml:space="preserve">6. Balanza de comprobación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7. Balanza general o estado de situación financiera </w:t>
      </w:r>
    </w:p>
    <w:p w:rsidR="00AF4B91" w:rsidRDefault="00EA1D5E">
      <w:pPr>
        <w:numPr>
          <w:ilvl w:val="0"/>
          <w:numId w:val="10"/>
        </w:numPr>
        <w:ind w:hanging="240"/>
      </w:pPr>
      <w:r>
        <w:t xml:space="preserve">Formas de presentar el balance general </w:t>
      </w:r>
    </w:p>
    <w:p w:rsidR="00AF4B91" w:rsidRDefault="00EA1D5E">
      <w:pPr>
        <w:numPr>
          <w:ilvl w:val="0"/>
          <w:numId w:val="10"/>
        </w:numPr>
        <w:ind w:hanging="240"/>
      </w:pPr>
      <w:r>
        <w:t xml:space="preserve">Concepto y elementos que lo integran </w:t>
      </w:r>
    </w:p>
    <w:p w:rsidR="00AF4B91" w:rsidRDefault="00EA1D5E">
      <w:pPr>
        <w:numPr>
          <w:ilvl w:val="0"/>
          <w:numId w:val="10"/>
        </w:numPr>
        <w:ind w:hanging="240"/>
      </w:pPr>
      <w:r>
        <w:t>Importancia y presentación de los Estados de Cambios en la situación financiera y estado de variaciones en el capital contabl</w:t>
      </w:r>
      <w:r>
        <w:t xml:space="preserve">e. </w:t>
      </w:r>
    </w:p>
    <w:p w:rsidR="00AF4B91" w:rsidRDefault="00EA1D5E">
      <w:pPr>
        <w:numPr>
          <w:ilvl w:val="0"/>
          <w:numId w:val="10"/>
        </w:numPr>
        <w:ind w:hanging="240"/>
      </w:pPr>
      <w:r>
        <w:lastRenderedPageBreak/>
        <w:t xml:space="preserve">Interrelación de los Estados Financieros Principios Básicos en la empresa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8. Estado de pérdidas y ganancias o estado de resultados </w:t>
      </w:r>
    </w:p>
    <w:p w:rsidR="00AF4B91" w:rsidRDefault="00EA1D5E">
      <w:pPr>
        <w:numPr>
          <w:ilvl w:val="0"/>
          <w:numId w:val="11"/>
        </w:numPr>
        <w:ind w:hanging="240"/>
      </w:pPr>
      <w:r>
        <w:t xml:space="preserve">Primera parte del estado de pérdidas y ganancias </w:t>
      </w:r>
    </w:p>
    <w:p w:rsidR="00AF4B91" w:rsidRDefault="00EA1D5E">
      <w:pPr>
        <w:numPr>
          <w:ilvl w:val="0"/>
          <w:numId w:val="11"/>
        </w:numPr>
        <w:ind w:hanging="240"/>
      </w:pPr>
      <w:r>
        <w:t xml:space="preserve">Formación del estado de pérdidas y ganancias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spacing w:after="1" w:line="259" w:lineRule="auto"/>
        <w:ind w:left="-5"/>
      </w:pPr>
      <w:r>
        <w:rPr>
          <w:b/>
          <w:color w:val="215968"/>
        </w:rPr>
        <w:t xml:space="preserve">9. Solución a los ejercicios de contabilidad </w:t>
      </w:r>
    </w:p>
    <w:p w:rsidR="00AF4B91" w:rsidRDefault="00EA1D5E">
      <w:pPr>
        <w:spacing w:after="1" w:line="259" w:lineRule="auto"/>
        <w:ind w:left="-5"/>
      </w:pPr>
      <w:r>
        <w:rPr>
          <w:b/>
          <w:color w:val="215968"/>
        </w:rPr>
        <w:t xml:space="preserve">ECONOMÍA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1. Introducción a la economía </w:t>
      </w:r>
    </w:p>
    <w:p w:rsidR="00AF4B91" w:rsidRDefault="00EA1D5E">
      <w:pPr>
        <w:numPr>
          <w:ilvl w:val="0"/>
          <w:numId w:val="12"/>
        </w:numPr>
        <w:ind w:hanging="240"/>
      </w:pPr>
      <w:r>
        <w:t xml:space="preserve">Definición, objetivo, división, campo y método de la economía. </w:t>
      </w:r>
    </w:p>
    <w:p w:rsidR="00AF4B91" w:rsidRDefault="00EA1D5E">
      <w:pPr>
        <w:numPr>
          <w:ilvl w:val="0"/>
          <w:numId w:val="12"/>
        </w:numPr>
        <w:ind w:hanging="240"/>
      </w:pPr>
      <w:r>
        <w:t xml:space="preserve">Enfoque multidisciplinario de la economía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2. Problemas centrales de la economía </w:t>
      </w:r>
    </w:p>
    <w:p w:rsidR="00AF4B91" w:rsidRDefault="00EA1D5E">
      <w:pPr>
        <w:numPr>
          <w:ilvl w:val="0"/>
          <w:numId w:val="13"/>
        </w:numPr>
        <w:ind w:hanging="240"/>
      </w:pPr>
      <w:r>
        <w:t>Los 5 problemas cen</w:t>
      </w:r>
      <w:r>
        <w:t xml:space="preserve">trales de la economía </w:t>
      </w:r>
    </w:p>
    <w:p w:rsidR="00AF4B91" w:rsidRDefault="00EA1D5E">
      <w:pPr>
        <w:numPr>
          <w:ilvl w:val="0"/>
          <w:numId w:val="13"/>
        </w:numPr>
        <w:ind w:hanging="240"/>
      </w:pPr>
      <w:r>
        <w:t xml:space="preserve">Recursos escasos frente a necesidades ilimitadas </w:t>
      </w:r>
    </w:p>
    <w:p w:rsidR="00AF4B91" w:rsidRDefault="00EA1D5E">
      <w:pPr>
        <w:numPr>
          <w:ilvl w:val="0"/>
          <w:numId w:val="13"/>
        </w:numPr>
        <w:ind w:hanging="240"/>
      </w:pPr>
      <w:r>
        <w:t xml:space="preserve">Utilidad </w:t>
      </w:r>
    </w:p>
    <w:p w:rsidR="00AF4B91" w:rsidRDefault="00EA1D5E">
      <w:pPr>
        <w:numPr>
          <w:ilvl w:val="0"/>
          <w:numId w:val="13"/>
        </w:numPr>
        <w:ind w:hanging="240"/>
      </w:pPr>
      <w:r>
        <w:t xml:space="preserve">Teoría del Valor </w:t>
      </w:r>
    </w:p>
    <w:p w:rsidR="00AF4B91" w:rsidRDefault="00EA1D5E">
      <w:pPr>
        <w:numPr>
          <w:ilvl w:val="0"/>
          <w:numId w:val="13"/>
        </w:numPr>
        <w:ind w:hanging="240"/>
      </w:pPr>
      <w:r>
        <w:t xml:space="preserve">Casos prácticos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3. Sistemas económicos </w:t>
      </w:r>
    </w:p>
    <w:p w:rsidR="00AF4B91" w:rsidRDefault="00EA1D5E">
      <w:pPr>
        <w:numPr>
          <w:ilvl w:val="0"/>
          <w:numId w:val="14"/>
        </w:numPr>
        <w:ind w:hanging="240"/>
      </w:pPr>
      <w:r>
        <w:t xml:space="preserve">Antecedentes </w:t>
      </w:r>
    </w:p>
    <w:p w:rsidR="00AF4B91" w:rsidRDefault="00EA1D5E">
      <w:pPr>
        <w:numPr>
          <w:ilvl w:val="0"/>
          <w:numId w:val="14"/>
        </w:numPr>
        <w:ind w:hanging="240"/>
      </w:pPr>
      <w:r>
        <w:t xml:space="preserve">Capitalismo </w:t>
      </w:r>
    </w:p>
    <w:p w:rsidR="00AF4B91" w:rsidRDefault="00EA1D5E">
      <w:pPr>
        <w:numPr>
          <w:ilvl w:val="0"/>
          <w:numId w:val="14"/>
        </w:numPr>
        <w:ind w:hanging="240"/>
      </w:pPr>
      <w:r>
        <w:t xml:space="preserve">Socialismo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4. Introducción a la microeconomía </w:t>
      </w:r>
    </w:p>
    <w:p w:rsidR="00AF4B91" w:rsidRDefault="00EA1D5E">
      <w:pPr>
        <w:numPr>
          <w:ilvl w:val="0"/>
          <w:numId w:val="15"/>
        </w:numPr>
        <w:ind w:hanging="240"/>
      </w:pPr>
      <w:r>
        <w:t xml:space="preserve">El mercado: definición y clasificación </w:t>
      </w:r>
    </w:p>
    <w:p w:rsidR="00AF4B91" w:rsidRDefault="00EA1D5E">
      <w:pPr>
        <w:numPr>
          <w:ilvl w:val="0"/>
          <w:numId w:val="15"/>
        </w:numPr>
        <w:ind w:hanging="240"/>
      </w:pPr>
      <w:r>
        <w:t xml:space="preserve">Teoría elemental de la oferta </w:t>
      </w:r>
    </w:p>
    <w:p w:rsidR="00AF4B91" w:rsidRDefault="00EA1D5E">
      <w:pPr>
        <w:numPr>
          <w:ilvl w:val="0"/>
          <w:numId w:val="15"/>
        </w:numPr>
        <w:ind w:hanging="240"/>
      </w:pPr>
      <w:r>
        <w:t xml:space="preserve">Equilibrio del mercado </w:t>
      </w:r>
    </w:p>
    <w:p w:rsidR="00AF4B91" w:rsidRDefault="00EA1D5E">
      <w:pPr>
        <w:numPr>
          <w:ilvl w:val="0"/>
          <w:numId w:val="15"/>
        </w:numPr>
        <w:ind w:hanging="240"/>
      </w:pPr>
      <w:r>
        <w:t xml:space="preserve">Elasticidad </w:t>
      </w:r>
    </w:p>
    <w:p w:rsidR="00AF4B91" w:rsidRDefault="00EA1D5E">
      <w:pPr>
        <w:numPr>
          <w:ilvl w:val="0"/>
          <w:numId w:val="15"/>
        </w:numPr>
        <w:ind w:hanging="240"/>
      </w:pPr>
      <w:r>
        <w:t xml:space="preserve">Casos prácticos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5. Teoría del consumidor </w:t>
      </w:r>
    </w:p>
    <w:p w:rsidR="00AF4B91" w:rsidRDefault="00EA1D5E">
      <w:pPr>
        <w:numPr>
          <w:ilvl w:val="0"/>
          <w:numId w:val="16"/>
        </w:numPr>
        <w:ind w:hanging="240"/>
      </w:pPr>
      <w:r>
        <w:t xml:space="preserve">Análisis a través de la utilidad total y utilidad marginal </w:t>
      </w:r>
    </w:p>
    <w:p w:rsidR="00AF4B91" w:rsidRDefault="00EA1D5E">
      <w:pPr>
        <w:numPr>
          <w:ilvl w:val="0"/>
          <w:numId w:val="16"/>
        </w:numPr>
        <w:ind w:hanging="240"/>
      </w:pPr>
      <w:r>
        <w:t xml:space="preserve">Análisis a través de curvas de inferencia </w:t>
      </w:r>
    </w:p>
    <w:p w:rsidR="00AF4B91" w:rsidRDefault="00EA1D5E">
      <w:pPr>
        <w:numPr>
          <w:ilvl w:val="0"/>
          <w:numId w:val="16"/>
        </w:numPr>
        <w:ind w:hanging="240"/>
      </w:pPr>
      <w:r>
        <w:t xml:space="preserve">Curva de demanda con base al precio y al ingreso del consumidor </w:t>
      </w:r>
    </w:p>
    <w:p w:rsidR="00AF4B91" w:rsidRDefault="00EA1D5E">
      <w:pPr>
        <w:numPr>
          <w:ilvl w:val="0"/>
          <w:numId w:val="16"/>
        </w:numPr>
        <w:ind w:hanging="240"/>
      </w:pPr>
      <w:r>
        <w:t xml:space="preserve">Casos prácticos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t xml:space="preserve"> </w:t>
      </w:r>
    </w:p>
    <w:p w:rsidR="00AF4B91" w:rsidRDefault="00EA1D5E">
      <w:pPr>
        <w:pStyle w:val="Ttulo2"/>
        <w:ind w:left="-5"/>
      </w:pPr>
      <w:r>
        <w:t xml:space="preserve">6. Teoría de la producción </w:t>
      </w:r>
    </w:p>
    <w:p w:rsidR="00AF4B91" w:rsidRDefault="00EA1D5E">
      <w:pPr>
        <w:numPr>
          <w:ilvl w:val="0"/>
          <w:numId w:val="17"/>
        </w:numPr>
        <w:ind w:hanging="240"/>
      </w:pPr>
      <w:r>
        <w:t xml:space="preserve">La producción a corto plazo </w:t>
      </w:r>
    </w:p>
    <w:p w:rsidR="00AF4B91" w:rsidRDefault="00EA1D5E">
      <w:pPr>
        <w:numPr>
          <w:ilvl w:val="0"/>
          <w:numId w:val="17"/>
        </w:numPr>
        <w:ind w:hanging="240"/>
      </w:pPr>
      <w:r>
        <w:t xml:space="preserve">La producción a largo plazo </w:t>
      </w:r>
    </w:p>
    <w:p w:rsidR="00AF4B91" w:rsidRDefault="00EA1D5E">
      <w:pPr>
        <w:numPr>
          <w:ilvl w:val="0"/>
          <w:numId w:val="17"/>
        </w:numPr>
        <w:ind w:hanging="240"/>
      </w:pPr>
      <w:r>
        <w:t xml:space="preserve">Casos prácticos </w:t>
      </w:r>
    </w:p>
    <w:p w:rsidR="00AF4B91" w:rsidRDefault="00EA1D5E">
      <w:pPr>
        <w:spacing w:after="0" w:line="259" w:lineRule="auto"/>
        <w:ind w:left="0" w:firstLine="0"/>
      </w:pPr>
      <w:r>
        <w:rPr>
          <w:b/>
          <w:color w:val="215968"/>
        </w:rPr>
        <w:lastRenderedPageBreak/>
        <w:t xml:space="preserve"> </w:t>
      </w:r>
    </w:p>
    <w:p w:rsidR="00AF4B91" w:rsidRDefault="00EA1D5E">
      <w:pPr>
        <w:pStyle w:val="Ttulo2"/>
        <w:ind w:left="-5"/>
      </w:pPr>
      <w:r>
        <w:t xml:space="preserve">7. Estructura de mercado </w:t>
      </w:r>
    </w:p>
    <w:p w:rsidR="00AF4B91" w:rsidRDefault="00EA1D5E">
      <w:pPr>
        <w:numPr>
          <w:ilvl w:val="0"/>
          <w:numId w:val="18"/>
        </w:numPr>
        <w:ind w:hanging="240"/>
      </w:pPr>
      <w:r>
        <w:t xml:space="preserve">La empresa bajo competencia perfecta </w:t>
      </w:r>
    </w:p>
    <w:p w:rsidR="00AF4B91" w:rsidRDefault="00EA1D5E">
      <w:pPr>
        <w:numPr>
          <w:ilvl w:val="0"/>
          <w:numId w:val="18"/>
        </w:numPr>
        <w:ind w:hanging="240"/>
      </w:pPr>
      <w:r>
        <w:t xml:space="preserve">La empresa monopolista </w:t>
      </w:r>
    </w:p>
    <w:p w:rsidR="00AF4B91" w:rsidRDefault="00EA1D5E">
      <w:pPr>
        <w:numPr>
          <w:ilvl w:val="0"/>
          <w:numId w:val="18"/>
        </w:numPr>
        <w:ind w:hanging="240"/>
      </w:pPr>
      <w:r>
        <w:t xml:space="preserve">Oligopolio </w:t>
      </w:r>
    </w:p>
    <w:p w:rsidR="00AF4B91" w:rsidRDefault="00EA1D5E">
      <w:pPr>
        <w:numPr>
          <w:ilvl w:val="0"/>
          <w:numId w:val="18"/>
        </w:numPr>
        <w:ind w:hanging="240"/>
      </w:pPr>
      <w:r>
        <w:t xml:space="preserve">Mercados especiales e irregulares </w:t>
      </w:r>
    </w:p>
    <w:p w:rsidR="00AF4B91" w:rsidRDefault="00EA1D5E">
      <w:pPr>
        <w:numPr>
          <w:ilvl w:val="0"/>
          <w:numId w:val="18"/>
        </w:numPr>
        <w:ind w:hanging="240"/>
      </w:pPr>
      <w:r>
        <w:t xml:space="preserve">La empresa bajo competencia monopolista </w:t>
      </w:r>
    </w:p>
    <w:p w:rsidR="00AF4B91" w:rsidRDefault="00EA1D5E">
      <w:pPr>
        <w:numPr>
          <w:ilvl w:val="0"/>
          <w:numId w:val="18"/>
        </w:numPr>
        <w:ind w:hanging="240"/>
      </w:pPr>
      <w:r>
        <w:t xml:space="preserve">Casos prácticos </w:t>
      </w:r>
    </w:p>
    <w:p w:rsidR="00AF4B91" w:rsidRDefault="00EA1D5E">
      <w:pPr>
        <w:spacing w:after="0" w:line="259" w:lineRule="auto"/>
        <w:ind w:left="0" w:firstLine="0"/>
      </w:pPr>
      <w:r>
        <w:t xml:space="preserve"> </w:t>
      </w:r>
    </w:p>
    <w:p w:rsidR="00AF4B91" w:rsidRDefault="00EA1D5E">
      <w:pPr>
        <w:spacing w:after="0" w:line="259" w:lineRule="auto"/>
        <w:ind w:left="0" w:firstLine="0"/>
      </w:pPr>
      <w:r>
        <w:t xml:space="preserve"> </w:t>
      </w:r>
    </w:p>
    <w:p w:rsidR="00AF4B91" w:rsidRDefault="00EA1D5E">
      <w:pPr>
        <w:spacing w:after="0" w:line="259" w:lineRule="auto"/>
        <w:ind w:left="0" w:firstLine="0"/>
      </w:pPr>
      <w:r>
        <w:t xml:space="preserve"> </w:t>
      </w:r>
    </w:p>
    <w:p w:rsidR="00AF4B91" w:rsidRDefault="00EA1D5E">
      <w:pPr>
        <w:pStyle w:val="Ttulo2"/>
        <w:ind w:left="-5"/>
      </w:pPr>
      <w:r>
        <w:t xml:space="preserve">8. Cuentas nacionales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Producto Nacional e ingreso Nacional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Producto Nacional Bruto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Producto interno neto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Método para calcular el PNB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Índices de precios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Sistemas de Cuentas Nacionales </w:t>
      </w:r>
    </w:p>
    <w:p w:rsidR="00AF4B91" w:rsidRDefault="00EA1D5E">
      <w:pPr>
        <w:numPr>
          <w:ilvl w:val="0"/>
          <w:numId w:val="19"/>
        </w:numPr>
        <w:ind w:hanging="240"/>
      </w:pPr>
      <w:r>
        <w:t xml:space="preserve">Caso práctico </w:t>
      </w:r>
    </w:p>
    <w:p w:rsidR="00AF4B91" w:rsidRDefault="00EA1D5E">
      <w:pPr>
        <w:spacing w:after="0" w:line="259" w:lineRule="auto"/>
        <w:ind w:left="0" w:firstLine="0"/>
      </w:pPr>
      <w:r>
        <w:t xml:space="preserve"> </w:t>
      </w:r>
    </w:p>
    <w:p w:rsidR="00AF4B91" w:rsidRDefault="00EA1D5E">
      <w:pPr>
        <w:pStyle w:val="Ttulo2"/>
        <w:ind w:left="-5"/>
      </w:pPr>
      <w:r>
        <w:t>9. Política fiscal monetaria de México</w:t>
      </w:r>
      <w:r>
        <w:rPr>
          <w:color w:val="000000"/>
        </w:rPr>
        <w:t xml:space="preserve"> </w:t>
      </w:r>
    </w:p>
    <w:p w:rsidR="00AF4B91" w:rsidRDefault="00EA1D5E">
      <w:pPr>
        <w:numPr>
          <w:ilvl w:val="0"/>
          <w:numId w:val="20"/>
        </w:numPr>
        <w:ind w:hanging="240"/>
      </w:pPr>
      <w:r>
        <w:t xml:space="preserve">Sistema monetario y financiero </w:t>
      </w:r>
    </w:p>
    <w:p w:rsidR="00AF4B91" w:rsidRDefault="00EA1D5E">
      <w:pPr>
        <w:numPr>
          <w:ilvl w:val="0"/>
          <w:numId w:val="20"/>
        </w:numPr>
        <w:ind w:hanging="240"/>
      </w:pPr>
      <w:r>
        <w:t xml:space="preserve">Ahorro, inversión y tasa de interés </w:t>
      </w:r>
    </w:p>
    <w:p w:rsidR="00AF4B91" w:rsidRDefault="00EA1D5E">
      <w:pPr>
        <w:spacing w:after="0" w:line="259" w:lineRule="auto"/>
        <w:ind w:left="0" w:firstLine="0"/>
      </w:pPr>
      <w:r>
        <w:t xml:space="preserve"> </w:t>
      </w:r>
    </w:p>
    <w:p w:rsidR="00AF4B91" w:rsidRDefault="00EA1D5E">
      <w:pPr>
        <w:pStyle w:val="Ttulo2"/>
        <w:ind w:left="-5"/>
      </w:pPr>
      <w:r>
        <w:t xml:space="preserve">10. Temas actuales de economía </w:t>
      </w:r>
    </w:p>
    <w:p w:rsidR="00AF4B91" w:rsidRDefault="00EA1D5E">
      <w:pPr>
        <w:numPr>
          <w:ilvl w:val="0"/>
          <w:numId w:val="21"/>
        </w:numPr>
        <w:ind w:hanging="238"/>
      </w:pPr>
      <w:r>
        <w:t>Bloques económi</w:t>
      </w:r>
      <w:r>
        <w:t xml:space="preserve">cos </w:t>
      </w:r>
    </w:p>
    <w:p w:rsidR="00AF4B91" w:rsidRDefault="00EA1D5E">
      <w:pPr>
        <w:numPr>
          <w:ilvl w:val="0"/>
          <w:numId w:val="21"/>
        </w:numPr>
        <w:ind w:hanging="238"/>
      </w:pPr>
      <w:r>
        <w:t xml:space="preserve">Tratados de libre comercio </w:t>
      </w:r>
    </w:p>
    <w:p w:rsidR="00AF4B91" w:rsidRDefault="00EA1D5E">
      <w:pPr>
        <w:numPr>
          <w:ilvl w:val="0"/>
          <w:numId w:val="21"/>
        </w:numPr>
        <w:ind w:hanging="238"/>
      </w:pPr>
      <w:r>
        <w:t xml:space="preserve">Modelo globalizador </w:t>
      </w:r>
    </w:p>
    <w:sectPr w:rsidR="00AF4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151" w:right="858" w:bottom="1921" w:left="1419" w:header="60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5E" w:rsidRDefault="00EA1D5E">
      <w:pPr>
        <w:spacing w:after="0" w:line="240" w:lineRule="auto"/>
      </w:pPr>
      <w:r>
        <w:separator/>
      </w:r>
    </w:p>
  </w:endnote>
  <w:endnote w:type="continuationSeparator" w:id="0">
    <w:p w:rsidR="00EA1D5E" w:rsidRDefault="00EA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1" w:rsidRDefault="00EA1D5E">
    <w:pPr>
      <w:spacing w:after="89" w:line="259" w:lineRule="auto"/>
      <w:ind w:left="0" w:right="2049" w:firstLine="0"/>
      <w:jc w:val="center"/>
    </w:pPr>
    <w:r>
      <w:rPr>
        <w:rFonts w:ascii="Courier New" w:eastAsia="Courier New" w:hAnsi="Courier New" w:cs="Courier New"/>
        <w:color w:val="737373"/>
        <w:sz w:val="16"/>
      </w:rPr>
      <w:t xml:space="preserve"> </w:t>
    </w:r>
  </w:p>
  <w:p w:rsidR="00AF4B91" w:rsidRDefault="00EA1D5E">
    <w:pPr>
      <w:spacing w:after="42" w:line="259" w:lineRule="auto"/>
      <w:ind w:left="15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4390009</wp:posOffset>
              </wp:positionH>
              <wp:positionV relativeFrom="page">
                <wp:posOffset>9003792</wp:posOffset>
              </wp:positionV>
              <wp:extent cx="2957194" cy="533583"/>
              <wp:effectExtent l="0" t="0" r="0" b="0"/>
              <wp:wrapNone/>
              <wp:docPr id="5026" name="Group 5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194" cy="533583"/>
                        <a:chOff x="0" y="0"/>
                        <a:chExt cx="2957194" cy="533583"/>
                      </a:xfrm>
                    </wpg:grpSpPr>
                    <pic:pic xmlns:pic="http://schemas.openxmlformats.org/drawingml/2006/picture">
                      <pic:nvPicPr>
                        <pic:cNvPr id="5027" name="Picture 50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9099" y="21337"/>
                          <a:ext cx="768096" cy="454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12" name="Shape 5312"/>
                      <wps:cNvSpPr/>
                      <wps:spPr>
                        <a:xfrm>
                          <a:off x="0" y="409956"/>
                          <a:ext cx="1280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414" h="9144">
                              <a:moveTo>
                                <a:pt x="0" y="0"/>
                              </a:moveTo>
                              <a:lnTo>
                                <a:pt x="1280414" y="0"/>
                              </a:lnTo>
                              <a:lnTo>
                                <a:pt x="1280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0" name="Rectangle 5030"/>
                      <wps:cNvSpPr/>
                      <wps:spPr>
                        <a:xfrm>
                          <a:off x="609600" y="440349"/>
                          <a:ext cx="81482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B91" w:rsidRDefault="00EA1D5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BC8E5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28" name="Picture 50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91691" y="0"/>
                          <a:ext cx="553212" cy="525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6" style="width:232.85pt;height:42.0144pt;position:absolute;z-index:-2147483616;mso-position-horizontal-relative:page;mso-position-horizontal:absolute;margin-left:345.67pt;mso-position-vertical-relative:page;margin-top:708.96pt;" coordsize="29571,5335">
              <v:shape id="Picture 5027" style="position:absolute;width:7680;height:4541;left:21890;top:213;" filled="f">
                <v:imagedata r:id="rId9"/>
              </v:shape>
              <v:shape id="Shape 5313" style="position:absolute;width:12804;height:91;left:0;top:4099;" coordsize="1280414,9144" path="m0,0l1280414,0l1280414,9144l0,9144l0,0">
                <v:stroke weight="0pt" endcap="flat" joinstyle="miter" miterlimit="10" on="false" color="#000000" opacity="0"/>
                <v:fill on="true" color="#0000ff"/>
              </v:shape>
              <v:rect id="Rectangle 5030" style="position:absolute;width:814;height:1240;left:6096;top:44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ourier New" w:hAnsi="Courier New" w:eastAsia="Courier New" w:ascii="Courier New"/>
                          <w:color w:val="bc8e5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5028" style="position:absolute;width:5532;height:5257;left:15916;top:0;" filled="f">
                <v:imagedata r:id="rId10"/>
              </v:shape>
            </v:group>
          </w:pict>
        </mc:Fallback>
      </mc:AlternateContent>
    </w:r>
    <w:r>
      <w:rPr>
        <w:rFonts w:ascii="Courier New" w:eastAsia="Courier New" w:hAnsi="Courier New" w:cs="Courier New"/>
        <w:color w:val="BC8E53"/>
        <w:sz w:val="16"/>
      </w:rPr>
      <w:t xml:space="preserve">Ave. Tecnológico, Km. 4, Col. Las Playitas, Guaymas, </w:t>
    </w:r>
  </w:p>
  <w:p w:rsidR="00AF4B91" w:rsidRDefault="00EA1D5E">
    <w:pPr>
      <w:spacing w:after="0" w:line="259" w:lineRule="auto"/>
      <w:ind w:left="0" w:right="129" w:firstLine="0"/>
      <w:jc w:val="center"/>
    </w:pPr>
    <w:r>
      <w:rPr>
        <w:sz w:val="24"/>
      </w:rPr>
      <w:t xml:space="preserve"> </w:t>
    </w:r>
    <w:r>
      <w:rPr>
        <w:rFonts w:ascii="Courier New" w:eastAsia="Courier New" w:hAnsi="Courier New" w:cs="Courier New"/>
        <w:color w:val="BC8E53"/>
        <w:sz w:val="16"/>
      </w:rPr>
      <w:t xml:space="preserve">Sonora, C.P. 85480 </w:t>
    </w:r>
  </w:p>
  <w:p w:rsidR="00AF4B91" w:rsidRDefault="00EA1D5E">
    <w:pPr>
      <w:spacing w:after="108" w:line="259" w:lineRule="auto"/>
      <w:ind w:left="159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Tels. (622) 221-53-67, email: </w:t>
    </w:r>
    <w:r>
      <w:rPr>
        <w:rFonts w:ascii="Courier New" w:eastAsia="Courier New" w:hAnsi="Courier New" w:cs="Courier New"/>
        <w:color w:val="0000FF"/>
        <w:sz w:val="16"/>
      </w:rPr>
      <w:t>cbas_guaymas@tecnm.mx</w:t>
    </w:r>
    <w:r>
      <w:rPr>
        <w:rFonts w:ascii="Courier New" w:eastAsia="Courier New" w:hAnsi="Courier New" w:cs="Courier New"/>
        <w:color w:val="BC8E53"/>
        <w:sz w:val="16"/>
      </w:rPr>
      <w:t xml:space="preserve"> </w:t>
    </w:r>
  </w:p>
  <w:p w:rsidR="00AF4B91" w:rsidRDefault="00EA1D5E">
    <w:pPr>
      <w:spacing w:after="0" w:line="259" w:lineRule="auto"/>
      <w:ind w:left="159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  </w:t>
    </w:r>
    <w:r>
      <w:rPr>
        <w:rFonts w:ascii="Courier New" w:eastAsia="Courier New" w:hAnsi="Courier New" w:cs="Courier New"/>
        <w:color w:val="BC8E53"/>
        <w:sz w:val="16"/>
      </w:rPr>
      <w:t>tecnm.mx | itguaymas.edu.mx</w:t>
    </w:r>
    <w:r>
      <w:rPr>
        <w:sz w:val="24"/>
      </w:rPr>
      <w:t xml:space="preserve"> </w:t>
    </w:r>
  </w:p>
  <w:p w:rsidR="00AF4B91" w:rsidRDefault="00EA1D5E">
    <w:pPr>
      <w:spacing w:after="27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  <w:t xml:space="preserve">  </w:t>
    </w:r>
    <w:r>
      <w:rPr>
        <w:sz w:val="24"/>
      </w:rPr>
      <w:tab/>
    </w:r>
    <w:r>
      <w:rPr>
        <w:rFonts w:ascii="Courier New" w:eastAsia="Courier New" w:hAnsi="Courier New" w:cs="Courier New"/>
        <w:color w:val="BC8E53"/>
        <w:sz w:val="24"/>
        <w:vertAlign w:val="superscript"/>
      </w:rPr>
      <w:t xml:space="preserve"> </w:t>
    </w:r>
    <w:r>
      <w:rPr>
        <w:rFonts w:ascii="Courier New" w:eastAsia="Courier New" w:hAnsi="Courier New" w:cs="Courier New"/>
        <w:color w:val="BC8E53"/>
        <w:sz w:val="24"/>
        <w:vertAlign w:val="superscript"/>
      </w:rPr>
      <w:tab/>
    </w:r>
    <w:r>
      <w:rPr>
        <w:sz w:val="24"/>
      </w:rPr>
      <w:t xml:space="preserve"> </w:t>
    </w:r>
  </w:p>
  <w:p w:rsidR="00AF4B91" w:rsidRDefault="00EA1D5E">
    <w:pPr>
      <w:spacing w:after="0" w:line="259" w:lineRule="auto"/>
      <w:ind w:left="0" w:right="693" w:firstLine="0"/>
      <w:jc w:val="center"/>
    </w:pPr>
    <w:r>
      <w:rPr>
        <w:sz w:val="24"/>
      </w:rPr>
      <w:t xml:space="preserve"> </w:t>
    </w:r>
  </w:p>
  <w:p w:rsidR="00AF4B91" w:rsidRDefault="00EA1D5E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1" w:rsidRDefault="00EA1D5E">
    <w:pPr>
      <w:spacing w:after="89" w:line="259" w:lineRule="auto"/>
      <w:ind w:left="0" w:right="2049" w:firstLine="0"/>
      <w:jc w:val="center"/>
    </w:pPr>
    <w:r>
      <w:rPr>
        <w:rFonts w:ascii="Courier New" w:eastAsia="Courier New" w:hAnsi="Courier New" w:cs="Courier New"/>
        <w:color w:val="737373"/>
        <w:sz w:val="16"/>
      </w:rPr>
      <w:t xml:space="preserve"> </w:t>
    </w:r>
  </w:p>
  <w:p w:rsidR="00AF4B91" w:rsidRDefault="00EA1D5E">
    <w:pPr>
      <w:spacing w:after="42" w:line="259" w:lineRule="auto"/>
      <w:ind w:left="15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4390009</wp:posOffset>
              </wp:positionH>
              <wp:positionV relativeFrom="page">
                <wp:posOffset>9003792</wp:posOffset>
              </wp:positionV>
              <wp:extent cx="2957194" cy="533583"/>
              <wp:effectExtent l="0" t="0" r="0" b="0"/>
              <wp:wrapNone/>
              <wp:docPr id="4944" name="Group 49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194" cy="533583"/>
                        <a:chOff x="0" y="0"/>
                        <a:chExt cx="2957194" cy="533583"/>
                      </a:xfrm>
                    </wpg:grpSpPr>
                    <pic:pic xmlns:pic="http://schemas.openxmlformats.org/drawingml/2006/picture">
                      <pic:nvPicPr>
                        <pic:cNvPr id="4945" name="Picture 49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9099" y="21337"/>
                          <a:ext cx="768096" cy="454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10" name="Shape 5310"/>
                      <wps:cNvSpPr/>
                      <wps:spPr>
                        <a:xfrm>
                          <a:off x="0" y="409956"/>
                          <a:ext cx="1280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414" h="9144">
                              <a:moveTo>
                                <a:pt x="0" y="0"/>
                              </a:moveTo>
                              <a:lnTo>
                                <a:pt x="1280414" y="0"/>
                              </a:lnTo>
                              <a:lnTo>
                                <a:pt x="1280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" name="Rectangle 4948"/>
                      <wps:cNvSpPr/>
                      <wps:spPr>
                        <a:xfrm>
                          <a:off x="609600" y="440349"/>
                          <a:ext cx="81482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B91" w:rsidRDefault="00EA1D5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BC8E5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46" name="Picture 494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91691" y="0"/>
                          <a:ext cx="553212" cy="525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4" style="width:232.85pt;height:42.0144pt;position:absolute;z-index:-2147483616;mso-position-horizontal-relative:page;mso-position-horizontal:absolute;margin-left:345.67pt;mso-position-vertical-relative:page;margin-top:708.96pt;" coordsize="29571,5335">
              <v:shape id="Picture 4945" style="position:absolute;width:7680;height:4541;left:21890;top:213;" filled="f">
                <v:imagedata r:id="rId9"/>
              </v:shape>
              <v:shape id="Shape 5311" style="position:absolute;width:12804;height:91;left:0;top:4099;" coordsize="1280414,9144" path="m0,0l1280414,0l1280414,9144l0,9144l0,0">
                <v:stroke weight="0pt" endcap="flat" joinstyle="miter" miterlimit="10" on="false" color="#000000" opacity="0"/>
                <v:fill on="true" color="#0000ff"/>
              </v:shape>
              <v:rect id="Rectangle 4948" style="position:absolute;width:814;height:1240;left:6096;top:44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ourier New" w:hAnsi="Courier New" w:eastAsia="Courier New" w:ascii="Courier New"/>
                          <w:color w:val="bc8e5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946" style="position:absolute;width:5532;height:5257;left:15916;top:0;" filled="f">
                <v:imagedata r:id="rId10"/>
              </v:shape>
            </v:group>
          </w:pict>
        </mc:Fallback>
      </mc:AlternateContent>
    </w:r>
    <w:r>
      <w:rPr>
        <w:rFonts w:ascii="Courier New" w:eastAsia="Courier New" w:hAnsi="Courier New" w:cs="Courier New"/>
        <w:color w:val="BC8E53"/>
        <w:sz w:val="16"/>
      </w:rPr>
      <w:t xml:space="preserve">Ave. Tecnológico, Km. 4, Col. Las Playitas, Guaymas, </w:t>
    </w:r>
  </w:p>
  <w:p w:rsidR="00AF4B91" w:rsidRDefault="00EA1D5E">
    <w:pPr>
      <w:spacing w:after="0" w:line="259" w:lineRule="auto"/>
      <w:ind w:left="0" w:right="129" w:firstLine="0"/>
      <w:jc w:val="center"/>
    </w:pPr>
    <w:r>
      <w:rPr>
        <w:sz w:val="24"/>
      </w:rPr>
      <w:t xml:space="preserve"> </w:t>
    </w:r>
    <w:r>
      <w:rPr>
        <w:rFonts w:ascii="Courier New" w:eastAsia="Courier New" w:hAnsi="Courier New" w:cs="Courier New"/>
        <w:color w:val="BC8E53"/>
        <w:sz w:val="16"/>
      </w:rPr>
      <w:t xml:space="preserve">Sonora, C.P. 85480 </w:t>
    </w:r>
  </w:p>
  <w:p w:rsidR="00AF4B91" w:rsidRDefault="00EA1D5E">
    <w:pPr>
      <w:spacing w:after="108" w:line="259" w:lineRule="auto"/>
      <w:ind w:left="159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Tels. (622) 221-53-67, email: </w:t>
    </w:r>
    <w:r>
      <w:rPr>
        <w:rFonts w:ascii="Courier New" w:eastAsia="Courier New" w:hAnsi="Courier New" w:cs="Courier New"/>
        <w:color w:val="0000FF"/>
        <w:sz w:val="16"/>
      </w:rPr>
      <w:t>cbas_guaymas@tecnm.mx</w:t>
    </w:r>
    <w:r>
      <w:rPr>
        <w:rFonts w:ascii="Courier New" w:eastAsia="Courier New" w:hAnsi="Courier New" w:cs="Courier New"/>
        <w:color w:val="BC8E53"/>
        <w:sz w:val="16"/>
      </w:rPr>
      <w:t xml:space="preserve"> </w:t>
    </w:r>
  </w:p>
  <w:p w:rsidR="00AF4B91" w:rsidRDefault="00EA1D5E">
    <w:pPr>
      <w:spacing w:after="0" w:line="259" w:lineRule="auto"/>
      <w:ind w:left="159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  tecnm.mx | itguaymas.edu.mx</w:t>
    </w:r>
    <w:r>
      <w:rPr>
        <w:sz w:val="24"/>
      </w:rPr>
      <w:t xml:space="preserve"> </w:t>
    </w:r>
  </w:p>
  <w:p w:rsidR="00AF4B91" w:rsidRDefault="00EA1D5E">
    <w:pPr>
      <w:spacing w:after="27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  <w:t xml:space="preserve">  </w:t>
    </w:r>
    <w:r>
      <w:rPr>
        <w:sz w:val="24"/>
      </w:rPr>
      <w:tab/>
    </w:r>
    <w:r>
      <w:rPr>
        <w:rFonts w:ascii="Courier New" w:eastAsia="Courier New" w:hAnsi="Courier New" w:cs="Courier New"/>
        <w:color w:val="BC8E53"/>
        <w:sz w:val="24"/>
        <w:vertAlign w:val="superscript"/>
      </w:rPr>
      <w:t xml:space="preserve"> </w:t>
    </w:r>
    <w:r>
      <w:rPr>
        <w:rFonts w:ascii="Courier New" w:eastAsia="Courier New" w:hAnsi="Courier New" w:cs="Courier New"/>
        <w:color w:val="BC8E53"/>
        <w:sz w:val="24"/>
        <w:vertAlign w:val="superscript"/>
      </w:rPr>
      <w:tab/>
    </w:r>
    <w:r>
      <w:rPr>
        <w:sz w:val="24"/>
      </w:rPr>
      <w:t xml:space="preserve"> </w:t>
    </w:r>
  </w:p>
  <w:p w:rsidR="00AF4B91" w:rsidRDefault="00EA1D5E">
    <w:pPr>
      <w:spacing w:after="0" w:line="259" w:lineRule="auto"/>
      <w:ind w:left="0" w:right="693" w:firstLine="0"/>
      <w:jc w:val="center"/>
    </w:pPr>
    <w:r>
      <w:rPr>
        <w:sz w:val="24"/>
      </w:rPr>
      <w:t xml:space="preserve"> </w:t>
    </w:r>
  </w:p>
  <w:p w:rsidR="00AF4B91" w:rsidRDefault="00EA1D5E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1" w:rsidRDefault="00EA1D5E">
    <w:pPr>
      <w:spacing w:after="89" w:line="259" w:lineRule="auto"/>
      <w:ind w:left="0" w:right="2049" w:firstLine="0"/>
      <w:jc w:val="center"/>
    </w:pPr>
    <w:r>
      <w:rPr>
        <w:rFonts w:ascii="Courier New" w:eastAsia="Courier New" w:hAnsi="Courier New" w:cs="Courier New"/>
        <w:color w:val="737373"/>
        <w:sz w:val="16"/>
      </w:rPr>
      <w:t xml:space="preserve"> </w:t>
    </w:r>
  </w:p>
  <w:p w:rsidR="00AF4B91" w:rsidRDefault="00EA1D5E">
    <w:pPr>
      <w:spacing w:after="42" w:line="259" w:lineRule="auto"/>
      <w:ind w:left="15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4390009</wp:posOffset>
              </wp:positionH>
              <wp:positionV relativeFrom="page">
                <wp:posOffset>9003792</wp:posOffset>
              </wp:positionV>
              <wp:extent cx="2957194" cy="533583"/>
              <wp:effectExtent l="0" t="0" r="0" b="0"/>
              <wp:wrapNone/>
              <wp:docPr id="4862" name="Group 4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194" cy="533583"/>
                        <a:chOff x="0" y="0"/>
                        <a:chExt cx="2957194" cy="533583"/>
                      </a:xfrm>
                    </wpg:grpSpPr>
                    <pic:pic xmlns:pic="http://schemas.openxmlformats.org/drawingml/2006/picture">
                      <pic:nvPicPr>
                        <pic:cNvPr id="4863" name="Picture 48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9099" y="21337"/>
                          <a:ext cx="768096" cy="454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08" name="Shape 5308"/>
                      <wps:cNvSpPr/>
                      <wps:spPr>
                        <a:xfrm>
                          <a:off x="0" y="409956"/>
                          <a:ext cx="1280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414" h="9144">
                              <a:moveTo>
                                <a:pt x="0" y="0"/>
                              </a:moveTo>
                              <a:lnTo>
                                <a:pt x="1280414" y="0"/>
                              </a:lnTo>
                              <a:lnTo>
                                <a:pt x="1280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6" name="Rectangle 4866"/>
                      <wps:cNvSpPr/>
                      <wps:spPr>
                        <a:xfrm>
                          <a:off x="609600" y="440349"/>
                          <a:ext cx="81482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B91" w:rsidRDefault="00EA1D5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BC8E5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64" name="Picture 48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91691" y="0"/>
                          <a:ext cx="553212" cy="525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2" style="width:232.85pt;height:42.0144pt;position:absolute;z-index:-2147483616;mso-position-horizontal-relative:page;mso-position-horizontal:absolute;margin-left:345.67pt;mso-position-vertical-relative:page;margin-top:708.96pt;" coordsize="29571,5335">
              <v:shape id="Picture 4863" style="position:absolute;width:7680;height:4541;left:21890;top:213;" filled="f">
                <v:imagedata r:id="rId9"/>
              </v:shape>
              <v:shape id="Shape 5309" style="position:absolute;width:12804;height:91;left:0;top:4099;" coordsize="1280414,9144" path="m0,0l1280414,0l1280414,9144l0,9144l0,0">
                <v:stroke weight="0pt" endcap="flat" joinstyle="miter" miterlimit="10" on="false" color="#000000" opacity="0"/>
                <v:fill on="true" color="#0000ff"/>
              </v:shape>
              <v:rect id="Rectangle 4866" style="position:absolute;width:814;height:1240;left:6096;top:44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ourier New" w:hAnsi="Courier New" w:eastAsia="Courier New" w:ascii="Courier New"/>
                          <w:color w:val="bc8e5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864" style="position:absolute;width:5532;height:5257;left:15916;top:0;" filled="f">
                <v:imagedata r:id="rId10"/>
              </v:shape>
            </v:group>
          </w:pict>
        </mc:Fallback>
      </mc:AlternateContent>
    </w:r>
    <w:r>
      <w:rPr>
        <w:rFonts w:ascii="Courier New" w:eastAsia="Courier New" w:hAnsi="Courier New" w:cs="Courier New"/>
        <w:color w:val="BC8E53"/>
        <w:sz w:val="16"/>
      </w:rPr>
      <w:t xml:space="preserve">Ave. Tecnológico, Km. 4, Col. Las Playitas, Guaymas, </w:t>
    </w:r>
  </w:p>
  <w:p w:rsidR="00AF4B91" w:rsidRDefault="00EA1D5E">
    <w:pPr>
      <w:spacing w:after="0" w:line="259" w:lineRule="auto"/>
      <w:ind w:left="0" w:right="129" w:firstLine="0"/>
      <w:jc w:val="center"/>
    </w:pPr>
    <w:r>
      <w:rPr>
        <w:sz w:val="24"/>
      </w:rPr>
      <w:t xml:space="preserve"> </w:t>
    </w:r>
    <w:r>
      <w:rPr>
        <w:rFonts w:ascii="Courier New" w:eastAsia="Courier New" w:hAnsi="Courier New" w:cs="Courier New"/>
        <w:color w:val="BC8E53"/>
        <w:sz w:val="16"/>
      </w:rPr>
      <w:t xml:space="preserve">Sonora, C.P. 85480 </w:t>
    </w:r>
  </w:p>
  <w:p w:rsidR="00AF4B91" w:rsidRDefault="00EA1D5E">
    <w:pPr>
      <w:spacing w:after="108" w:line="259" w:lineRule="auto"/>
      <w:ind w:left="159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Tels. (622) 221-53-67, email: </w:t>
    </w:r>
    <w:r>
      <w:rPr>
        <w:rFonts w:ascii="Courier New" w:eastAsia="Courier New" w:hAnsi="Courier New" w:cs="Courier New"/>
        <w:color w:val="0000FF"/>
        <w:sz w:val="16"/>
      </w:rPr>
      <w:t>cbas_guaymas@tecnm.mx</w:t>
    </w:r>
    <w:r>
      <w:rPr>
        <w:rFonts w:ascii="Courier New" w:eastAsia="Courier New" w:hAnsi="Courier New" w:cs="Courier New"/>
        <w:color w:val="BC8E53"/>
        <w:sz w:val="16"/>
      </w:rPr>
      <w:t xml:space="preserve"> </w:t>
    </w:r>
  </w:p>
  <w:p w:rsidR="00AF4B91" w:rsidRDefault="00EA1D5E">
    <w:pPr>
      <w:spacing w:after="0" w:line="259" w:lineRule="auto"/>
      <w:ind w:left="159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  tecnm.mx | itguaymas.edu.mx</w:t>
    </w:r>
    <w:r>
      <w:rPr>
        <w:sz w:val="24"/>
      </w:rPr>
      <w:t xml:space="preserve"> </w:t>
    </w:r>
  </w:p>
  <w:p w:rsidR="00AF4B91" w:rsidRDefault="00EA1D5E">
    <w:pPr>
      <w:spacing w:after="27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  <w:t xml:space="preserve">  </w:t>
    </w:r>
    <w:r>
      <w:rPr>
        <w:sz w:val="24"/>
      </w:rPr>
      <w:tab/>
    </w:r>
    <w:r>
      <w:rPr>
        <w:rFonts w:ascii="Courier New" w:eastAsia="Courier New" w:hAnsi="Courier New" w:cs="Courier New"/>
        <w:color w:val="BC8E53"/>
        <w:sz w:val="24"/>
        <w:vertAlign w:val="superscript"/>
      </w:rPr>
      <w:t xml:space="preserve"> </w:t>
    </w:r>
    <w:r>
      <w:rPr>
        <w:rFonts w:ascii="Courier New" w:eastAsia="Courier New" w:hAnsi="Courier New" w:cs="Courier New"/>
        <w:color w:val="BC8E53"/>
        <w:sz w:val="24"/>
        <w:vertAlign w:val="superscript"/>
      </w:rPr>
      <w:tab/>
    </w:r>
    <w:r>
      <w:rPr>
        <w:sz w:val="24"/>
      </w:rPr>
      <w:t xml:space="preserve"> </w:t>
    </w:r>
  </w:p>
  <w:p w:rsidR="00AF4B91" w:rsidRDefault="00EA1D5E">
    <w:pPr>
      <w:spacing w:after="0" w:line="259" w:lineRule="auto"/>
      <w:ind w:left="0" w:right="693" w:firstLine="0"/>
      <w:jc w:val="center"/>
    </w:pPr>
    <w:r>
      <w:rPr>
        <w:sz w:val="24"/>
      </w:rPr>
      <w:t xml:space="preserve"> </w:t>
    </w:r>
  </w:p>
  <w:p w:rsidR="00AF4B91" w:rsidRDefault="00EA1D5E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5E" w:rsidRDefault="00EA1D5E">
      <w:pPr>
        <w:spacing w:after="0" w:line="240" w:lineRule="auto"/>
      </w:pPr>
      <w:r>
        <w:separator/>
      </w:r>
    </w:p>
  </w:footnote>
  <w:footnote w:type="continuationSeparator" w:id="0">
    <w:p w:rsidR="00EA1D5E" w:rsidRDefault="00EA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1" w:rsidRDefault="00EA1D5E">
    <w:pPr>
      <w:spacing w:after="74" w:line="259" w:lineRule="auto"/>
      <w:ind w:left="0" w:right="-18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553212</wp:posOffset>
          </wp:positionH>
          <wp:positionV relativeFrom="page">
            <wp:posOffset>382524</wp:posOffset>
          </wp:positionV>
          <wp:extent cx="3340608" cy="438912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60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eastAsia="Bahnschrift" w:hAnsi="Bahnschrift" w:cs="Bahnschrift"/>
        <w:sz w:val="16"/>
      </w:rPr>
      <w:t xml:space="preserve">Instituto Tecnológico de Guaymas </w:t>
    </w:r>
  </w:p>
  <w:p w:rsidR="00AF4B91" w:rsidRDefault="00EA1D5E">
    <w:pPr>
      <w:tabs>
        <w:tab w:val="center" w:pos="3519"/>
        <w:tab w:val="right" w:pos="9966"/>
      </w:tabs>
      <w:spacing w:after="0" w:line="259" w:lineRule="auto"/>
      <w:ind w:left="0" w:right="-181" w:firstLine="0"/>
    </w:pPr>
    <w:r>
      <w:rPr>
        <w:sz w:val="37"/>
        <w:vertAlign w:val="superscript"/>
      </w:rPr>
      <w:t xml:space="preserve"> </w:t>
    </w:r>
    <w:r>
      <w:rPr>
        <w:sz w:val="37"/>
        <w:vertAlign w:val="superscript"/>
      </w:rPr>
      <w:tab/>
    </w:r>
    <w:r>
      <w:rPr>
        <w:rFonts w:ascii="Bahnschrift" w:eastAsia="Bahnschrift" w:hAnsi="Bahnschrift" w:cs="Bahnschrift"/>
        <w:sz w:val="21"/>
        <w:vertAlign w:val="subscript"/>
      </w:rPr>
      <w:t xml:space="preserve"> </w:t>
    </w:r>
    <w:r>
      <w:rPr>
        <w:rFonts w:ascii="Bahnschrift" w:eastAsia="Bahnschrift" w:hAnsi="Bahnschrift" w:cs="Bahnschrift"/>
        <w:sz w:val="21"/>
        <w:vertAlign w:val="subscript"/>
      </w:rPr>
      <w:tab/>
    </w:r>
    <w:r>
      <w:rPr>
        <w:rFonts w:ascii="Bahnschrift" w:eastAsia="Bahnschrift" w:hAnsi="Bahnschrift" w:cs="Bahnschrift"/>
        <w:sz w:val="16"/>
      </w:rPr>
      <w:t xml:space="preserve">Departamento de Ciencias Básicas </w:t>
    </w:r>
  </w:p>
  <w:p w:rsidR="00AF4B91" w:rsidRDefault="00EA1D5E">
    <w:pPr>
      <w:spacing w:after="48" w:line="259" w:lineRule="auto"/>
      <w:ind w:left="0" w:right="-221" w:firstLine="0"/>
      <w:jc w:val="right"/>
    </w:pPr>
    <w:r>
      <w:rPr>
        <w:rFonts w:ascii="Bahnschrift" w:eastAsia="Bahnschrift" w:hAnsi="Bahnschrift" w:cs="Bahnschrift"/>
        <w:sz w:val="14"/>
      </w:rPr>
      <w:t xml:space="preserve"> </w:t>
    </w:r>
  </w:p>
  <w:p w:rsidR="00AF4B91" w:rsidRDefault="00EA1D5E">
    <w:pPr>
      <w:spacing w:after="0" w:line="259" w:lineRule="auto"/>
      <w:ind w:left="0" w:right="-163" w:firstLine="0"/>
      <w:jc w:val="right"/>
    </w:pPr>
    <w:r>
      <w:rPr>
        <w:rFonts w:ascii="Bahnschrift" w:eastAsia="Bahnschrift" w:hAnsi="Bahnschrift" w:cs="Bahnschrift"/>
        <w:color w:val="737373"/>
        <w:sz w:val="20"/>
      </w:rPr>
      <w:t xml:space="preserve"> </w:t>
    </w:r>
  </w:p>
  <w:p w:rsidR="00AF4B91" w:rsidRDefault="00EA1D5E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924" cy="9800844"/>
              <wp:effectExtent l="0" t="0" r="0" b="0"/>
              <wp:wrapNone/>
              <wp:docPr id="5010" name="Group 5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924" cy="9800844"/>
                        <a:chOff x="0" y="0"/>
                        <a:chExt cx="7773924" cy="9800844"/>
                      </a:xfrm>
                    </wpg:grpSpPr>
                    <pic:pic xmlns:pic="http://schemas.openxmlformats.org/drawingml/2006/picture">
                      <pic:nvPicPr>
                        <pic:cNvPr id="5011" name="Picture 50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799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10" style="width:612.12pt;height:771.72pt;position:absolute;z-index:-2147483648;mso-position-horizontal-relative:page;mso-position-horizontal:absolute;margin-left:0pt;mso-position-vertical-relative:page;margin-top:0pt;" coordsize="77739,98008">
              <v:shape id="Picture 5011" style="position:absolute;width:77724;height:97993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1" w:rsidRDefault="00EA1D5E">
    <w:pPr>
      <w:spacing w:after="74" w:line="259" w:lineRule="auto"/>
      <w:ind w:left="0" w:right="-18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553212</wp:posOffset>
          </wp:positionH>
          <wp:positionV relativeFrom="page">
            <wp:posOffset>382524</wp:posOffset>
          </wp:positionV>
          <wp:extent cx="3340608" cy="438912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60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eastAsia="Bahnschrift" w:hAnsi="Bahnschrift" w:cs="Bahnschrift"/>
        <w:sz w:val="16"/>
      </w:rPr>
      <w:t xml:space="preserve">Instituto Tecnológico de Guaymas </w:t>
    </w:r>
  </w:p>
  <w:p w:rsidR="00AF4B91" w:rsidRDefault="00EA1D5E">
    <w:pPr>
      <w:tabs>
        <w:tab w:val="center" w:pos="3519"/>
        <w:tab w:val="right" w:pos="9966"/>
      </w:tabs>
      <w:spacing w:after="0" w:line="259" w:lineRule="auto"/>
      <w:ind w:left="0" w:right="-181" w:firstLine="0"/>
    </w:pPr>
    <w:r>
      <w:rPr>
        <w:sz w:val="37"/>
        <w:vertAlign w:val="superscript"/>
      </w:rPr>
      <w:t xml:space="preserve"> </w:t>
    </w:r>
    <w:r>
      <w:rPr>
        <w:sz w:val="37"/>
        <w:vertAlign w:val="superscript"/>
      </w:rPr>
      <w:tab/>
    </w:r>
    <w:r>
      <w:rPr>
        <w:rFonts w:ascii="Bahnschrift" w:eastAsia="Bahnschrift" w:hAnsi="Bahnschrift" w:cs="Bahnschrift"/>
        <w:sz w:val="21"/>
        <w:vertAlign w:val="subscript"/>
      </w:rPr>
      <w:t xml:space="preserve"> </w:t>
    </w:r>
    <w:r>
      <w:rPr>
        <w:rFonts w:ascii="Bahnschrift" w:eastAsia="Bahnschrift" w:hAnsi="Bahnschrift" w:cs="Bahnschrift"/>
        <w:sz w:val="21"/>
        <w:vertAlign w:val="subscript"/>
      </w:rPr>
      <w:tab/>
    </w:r>
    <w:r>
      <w:rPr>
        <w:rFonts w:ascii="Bahnschrift" w:eastAsia="Bahnschrift" w:hAnsi="Bahnschrift" w:cs="Bahnschrift"/>
        <w:sz w:val="16"/>
      </w:rPr>
      <w:t xml:space="preserve">Departamento de Ciencias Básicas </w:t>
    </w:r>
  </w:p>
  <w:p w:rsidR="00AF4B91" w:rsidRDefault="00EA1D5E">
    <w:pPr>
      <w:spacing w:after="48" w:line="259" w:lineRule="auto"/>
      <w:ind w:left="0" w:right="-221" w:firstLine="0"/>
      <w:jc w:val="right"/>
    </w:pPr>
    <w:r>
      <w:rPr>
        <w:rFonts w:ascii="Bahnschrift" w:eastAsia="Bahnschrift" w:hAnsi="Bahnschrift" w:cs="Bahnschrift"/>
        <w:sz w:val="14"/>
      </w:rPr>
      <w:t xml:space="preserve"> </w:t>
    </w:r>
  </w:p>
  <w:p w:rsidR="00AF4B91" w:rsidRDefault="00EA1D5E">
    <w:pPr>
      <w:spacing w:after="0" w:line="259" w:lineRule="auto"/>
      <w:ind w:left="0" w:right="-163" w:firstLine="0"/>
      <w:jc w:val="right"/>
    </w:pPr>
    <w:r>
      <w:rPr>
        <w:rFonts w:ascii="Bahnschrift" w:eastAsia="Bahnschrift" w:hAnsi="Bahnschrift" w:cs="Bahnschrift"/>
        <w:color w:val="737373"/>
        <w:sz w:val="20"/>
      </w:rPr>
      <w:t xml:space="preserve"> </w:t>
    </w:r>
  </w:p>
  <w:p w:rsidR="00AF4B91" w:rsidRDefault="00EA1D5E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924" cy="9800844"/>
              <wp:effectExtent l="0" t="0" r="0" b="0"/>
              <wp:wrapNone/>
              <wp:docPr id="4928" name="Group 4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924" cy="9800844"/>
                        <a:chOff x="0" y="0"/>
                        <a:chExt cx="7773924" cy="9800844"/>
                      </a:xfrm>
                    </wpg:grpSpPr>
                    <pic:pic xmlns:pic="http://schemas.openxmlformats.org/drawingml/2006/picture">
                      <pic:nvPicPr>
                        <pic:cNvPr id="4929" name="Picture 49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799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28" style="width:612.12pt;height:771.72pt;position:absolute;z-index:-2147483648;mso-position-horizontal-relative:page;mso-position-horizontal:absolute;margin-left:0pt;mso-position-vertical-relative:page;margin-top:0pt;" coordsize="77739,98008">
              <v:shape id="Picture 4929" style="position:absolute;width:77724;height:97993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1" w:rsidRDefault="00EA1D5E">
    <w:pPr>
      <w:spacing w:after="74" w:line="259" w:lineRule="auto"/>
      <w:ind w:left="0" w:right="-18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553212</wp:posOffset>
          </wp:positionH>
          <wp:positionV relativeFrom="page">
            <wp:posOffset>382524</wp:posOffset>
          </wp:positionV>
          <wp:extent cx="3340608" cy="438912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60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eastAsia="Bahnschrift" w:hAnsi="Bahnschrift" w:cs="Bahnschrift"/>
        <w:sz w:val="16"/>
      </w:rPr>
      <w:t xml:space="preserve">Instituto Tecnológico de Guaymas </w:t>
    </w:r>
  </w:p>
  <w:p w:rsidR="00AF4B91" w:rsidRDefault="00EA1D5E">
    <w:pPr>
      <w:tabs>
        <w:tab w:val="center" w:pos="3519"/>
        <w:tab w:val="right" w:pos="9966"/>
      </w:tabs>
      <w:spacing w:after="0" w:line="259" w:lineRule="auto"/>
      <w:ind w:left="0" w:right="-181" w:firstLine="0"/>
    </w:pPr>
    <w:r>
      <w:rPr>
        <w:sz w:val="37"/>
        <w:vertAlign w:val="superscript"/>
      </w:rPr>
      <w:t xml:space="preserve"> </w:t>
    </w:r>
    <w:r>
      <w:rPr>
        <w:sz w:val="37"/>
        <w:vertAlign w:val="superscript"/>
      </w:rPr>
      <w:tab/>
    </w:r>
    <w:r>
      <w:rPr>
        <w:rFonts w:ascii="Bahnschrift" w:eastAsia="Bahnschrift" w:hAnsi="Bahnschrift" w:cs="Bahnschrift"/>
        <w:sz w:val="21"/>
        <w:vertAlign w:val="subscript"/>
      </w:rPr>
      <w:t xml:space="preserve"> </w:t>
    </w:r>
    <w:r>
      <w:rPr>
        <w:rFonts w:ascii="Bahnschrift" w:eastAsia="Bahnschrift" w:hAnsi="Bahnschrift" w:cs="Bahnschrift"/>
        <w:sz w:val="21"/>
        <w:vertAlign w:val="subscript"/>
      </w:rPr>
      <w:tab/>
    </w:r>
    <w:r>
      <w:rPr>
        <w:rFonts w:ascii="Bahnschrift" w:eastAsia="Bahnschrift" w:hAnsi="Bahnschrift" w:cs="Bahnschrift"/>
        <w:sz w:val="16"/>
      </w:rPr>
      <w:t xml:space="preserve">Departamento de Ciencias Básicas </w:t>
    </w:r>
  </w:p>
  <w:p w:rsidR="00AF4B91" w:rsidRDefault="00EA1D5E">
    <w:pPr>
      <w:spacing w:after="48" w:line="259" w:lineRule="auto"/>
      <w:ind w:left="0" w:right="-221" w:firstLine="0"/>
      <w:jc w:val="right"/>
    </w:pPr>
    <w:r>
      <w:rPr>
        <w:rFonts w:ascii="Bahnschrift" w:eastAsia="Bahnschrift" w:hAnsi="Bahnschrift" w:cs="Bahnschrift"/>
        <w:sz w:val="14"/>
      </w:rPr>
      <w:t xml:space="preserve"> </w:t>
    </w:r>
  </w:p>
  <w:p w:rsidR="00AF4B91" w:rsidRDefault="00EA1D5E">
    <w:pPr>
      <w:spacing w:after="0" w:line="259" w:lineRule="auto"/>
      <w:ind w:left="0" w:right="-163" w:firstLine="0"/>
      <w:jc w:val="right"/>
    </w:pPr>
    <w:r>
      <w:rPr>
        <w:rFonts w:ascii="Bahnschrift" w:eastAsia="Bahnschrift" w:hAnsi="Bahnschrift" w:cs="Bahnschrift"/>
        <w:color w:val="737373"/>
        <w:sz w:val="20"/>
      </w:rPr>
      <w:t xml:space="preserve"> </w:t>
    </w:r>
  </w:p>
  <w:p w:rsidR="00AF4B91" w:rsidRDefault="00EA1D5E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924" cy="9800844"/>
              <wp:effectExtent l="0" t="0" r="0" b="0"/>
              <wp:wrapNone/>
              <wp:docPr id="4846" name="Group 4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924" cy="9800844"/>
                        <a:chOff x="0" y="0"/>
                        <a:chExt cx="7773924" cy="9800844"/>
                      </a:xfrm>
                    </wpg:grpSpPr>
                    <pic:pic xmlns:pic="http://schemas.openxmlformats.org/drawingml/2006/picture">
                      <pic:nvPicPr>
                        <pic:cNvPr id="4847" name="Picture 48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799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6" style="width:612.12pt;height:771.72pt;position:absolute;z-index:-2147483648;mso-position-horizontal-relative:page;mso-position-horizontal:absolute;margin-left:0pt;mso-position-vertical-relative:page;margin-top:0pt;" coordsize="77739,98008">
              <v:shape id="Picture 4847" style="position:absolute;width:77724;height:97993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4CC"/>
    <w:multiLevelType w:val="hybridMultilevel"/>
    <w:tmpl w:val="B268B02E"/>
    <w:lvl w:ilvl="0" w:tplc="8AC8B8D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A63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6C1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E4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ECF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4D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6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E23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E4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829B9"/>
    <w:multiLevelType w:val="hybridMultilevel"/>
    <w:tmpl w:val="CCB6EF8E"/>
    <w:lvl w:ilvl="0" w:tplc="D968EE6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49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AA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64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8B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45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2E3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89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05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DD4BD0"/>
    <w:multiLevelType w:val="hybridMultilevel"/>
    <w:tmpl w:val="7924D71E"/>
    <w:lvl w:ilvl="0" w:tplc="4BD0CA1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206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A11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F0E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CF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B2E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0C8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C9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EE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3710F"/>
    <w:multiLevelType w:val="hybridMultilevel"/>
    <w:tmpl w:val="40C8ACCE"/>
    <w:lvl w:ilvl="0" w:tplc="CFF686EE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E3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67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2A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86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C2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66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C0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F6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510DB"/>
    <w:multiLevelType w:val="hybridMultilevel"/>
    <w:tmpl w:val="AF840288"/>
    <w:lvl w:ilvl="0" w:tplc="7938D386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44A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0E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A6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E6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EA0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E20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1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04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AC260D"/>
    <w:multiLevelType w:val="hybridMultilevel"/>
    <w:tmpl w:val="EC58999C"/>
    <w:lvl w:ilvl="0" w:tplc="96F83446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E8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41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A7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92AA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84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69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C3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0400D7"/>
    <w:multiLevelType w:val="hybridMultilevel"/>
    <w:tmpl w:val="BAD62624"/>
    <w:lvl w:ilvl="0" w:tplc="790A12BA">
      <w:start w:val="1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81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2A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85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80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E84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C0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0C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49C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12ABB"/>
    <w:multiLevelType w:val="hybridMultilevel"/>
    <w:tmpl w:val="F588EB38"/>
    <w:lvl w:ilvl="0" w:tplc="8AA42DA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A86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098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675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2E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2C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2D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AB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88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596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73135"/>
    <w:multiLevelType w:val="hybridMultilevel"/>
    <w:tmpl w:val="E1367DF4"/>
    <w:lvl w:ilvl="0" w:tplc="66181CD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E48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0F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1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03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AE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40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C9C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C6D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110DA3"/>
    <w:multiLevelType w:val="hybridMultilevel"/>
    <w:tmpl w:val="C5AE414A"/>
    <w:lvl w:ilvl="0" w:tplc="0FB2892E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6D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B4C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24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2D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C0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5A83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C9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FA663E"/>
    <w:multiLevelType w:val="hybridMultilevel"/>
    <w:tmpl w:val="4AA4FC1A"/>
    <w:lvl w:ilvl="0" w:tplc="2940BFB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A8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AB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09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45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9AA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E60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C7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CA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D45804"/>
    <w:multiLevelType w:val="hybridMultilevel"/>
    <w:tmpl w:val="9DF8B6EC"/>
    <w:lvl w:ilvl="0" w:tplc="EBA6D60E">
      <w:start w:val="1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622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AF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21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283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2B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A4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068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CA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CF7049"/>
    <w:multiLevelType w:val="hybridMultilevel"/>
    <w:tmpl w:val="BC10301E"/>
    <w:lvl w:ilvl="0" w:tplc="558E7B36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45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5800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832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CC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E5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E5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E6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05C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B24137"/>
    <w:multiLevelType w:val="hybridMultilevel"/>
    <w:tmpl w:val="20FCA82A"/>
    <w:lvl w:ilvl="0" w:tplc="FDE2642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0E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28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2D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F6DB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479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C3D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E857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60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6D18F2"/>
    <w:multiLevelType w:val="hybridMultilevel"/>
    <w:tmpl w:val="7A3A9D1C"/>
    <w:lvl w:ilvl="0" w:tplc="DE284C46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4B9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4B4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63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CEF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C2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AF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6E8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ED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E559D1"/>
    <w:multiLevelType w:val="hybridMultilevel"/>
    <w:tmpl w:val="FB0CB05A"/>
    <w:lvl w:ilvl="0" w:tplc="241EFFB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65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C2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AC09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02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8C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4C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E4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06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4F435F"/>
    <w:multiLevelType w:val="hybridMultilevel"/>
    <w:tmpl w:val="C04E0D06"/>
    <w:lvl w:ilvl="0" w:tplc="F576604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5C7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21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E7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A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2E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AD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1C7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27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FE3FE2"/>
    <w:multiLevelType w:val="hybridMultilevel"/>
    <w:tmpl w:val="16285A58"/>
    <w:lvl w:ilvl="0" w:tplc="6B84204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21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6C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80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E5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0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88B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44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C6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802F1E"/>
    <w:multiLevelType w:val="hybridMultilevel"/>
    <w:tmpl w:val="AA46C260"/>
    <w:lvl w:ilvl="0" w:tplc="7A1CE2C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0F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A0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44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284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0D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08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E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01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432467"/>
    <w:multiLevelType w:val="hybridMultilevel"/>
    <w:tmpl w:val="8C88BA28"/>
    <w:lvl w:ilvl="0" w:tplc="19BCAC8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865F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A2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CA1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8F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62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68E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61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EB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5D6B12"/>
    <w:multiLevelType w:val="hybridMultilevel"/>
    <w:tmpl w:val="DD36DEDC"/>
    <w:lvl w:ilvl="0" w:tplc="2DBCF54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25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2BB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C0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EE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244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8E6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40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E1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7"/>
  </w:num>
  <w:num w:numId="5">
    <w:abstractNumId w:val="7"/>
  </w:num>
  <w:num w:numId="6">
    <w:abstractNumId w:val="13"/>
  </w:num>
  <w:num w:numId="7">
    <w:abstractNumId w:val="2"/>
  </w:num>
  <w:num w:numId="8">
    <w:abstractNumId w:val="20"/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14"/>
  </w:num>
  <w:num w:numId="15">
    <w:abstractNumId w:val="9"/>
  </w:num>
  <w:num w:numId="16">
    <w:abstractNumId w:val="10"/>
  </w:num>
  <w:num w:numId="17">
    <w:abstractNumId w:val="5"/>
  </w:num>
  <w:num w:numId="18">
    <w:abstractNumId w:val="3"/>
  </w:num>
  <w:num w:numId="19">
    <w:abstractNumId w:val="1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91"/>
    <w:rsid w:val="00AF4B91"/>
    <w:rsid w:val="00DF576C"/>
    <w:rsid w:val="00E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C2F86-8DC5-4022-A4D7-A759096D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15968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b/>
      <w:color w:val="21596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215968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1596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Relationship Id="rId10" Type="http://schemas.openxmlformats.org/officeDocument/2006/relationships/image" Target="media/image3.jpg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Relationship Id="rId10" Type="http://schemas.openxmlformats.org/officeDocument/2006/relationships/image" Target="media/image3.jpg"/><Relationship Id="rId9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Relationship Id="rId10" Type="http://schemas.openxmlformats.org/officeDocument/2006/relationships/image" Target="media/image3.jpg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cp:lastModifiedBy>Hewlett-Packard Company</cp:lastModifiedBy>
  <cp:revision>2</cp:revision>
  <dcterms:created xsi:type="dcterms:W3CDTF">2025-09-23T21:10:00Z</dcterms:created>
  <dcterms:modified xsi:type="dcterms:W3CDTF">2025-09-23T21:10:00Z</dcterms:modified>
</cp:coreProperties>
</file>